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712798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712798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432B0" w:rsidP="00F55D57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31.10</w:t>
            </w:r>
            <w:r w:rsidR="00AC3EDD"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.2025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3205F3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3205F3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3205F3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3205F3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покрытия записи об исключении имущества из состава ипотечного покрытия облигаций эмитента с ипотечным покрытием): </w:t>
            </w:r>
            <w:r w:rsidRPr="003205F3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3205F3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3205F3" w:rsidRDefault="00AC3EDD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2.4. </w:t>
            </w:r>
            <w:bookmarkStart w:id="0" w:name="OLE_LINK96"/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3205F3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</w:t>
            </w:r>
            <w:r w:rsidRPr="003205F3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6C0112" w:rsidRPr="003205F3" w:rsidRDefault="006C0112" w:rsidP="006C0112">
            <w:pPr>
              <w:spacing w:before="120" w:after="60"/>
              <w:ind w:left="57" w:right="57"/>
              <w:jc w:val="both"/>
              <w:rPr>
                <w:rFonts w:ascii="PT Sans" w:eastAsiaTheme="minorHAnsi" w:hAnsi="PT Sans"/>
                <w:b/>
                <w:bCs/>
                <w:sz w:val="20"/>
                <w:szCs w:val="20"/>
              </w:rPr>
            </w:pP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6C0112" w:rsidRPr="003205F3" w:rsidRDefault="006C0112" w:rsidP="006C011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31.10.2025г.</w:t>
            </w:r>
            <w:r w:rsidRPr="003205F3">
              <w:rPr>
                <w:rFonts w:ascii="PT Sans" w:hAnsi="PT Sans"/>
                <w:sz w:val="20"/>
                <w:szCs w:val="20"/>
              </w:rPr>
              <w:t xml:space="preserve"> </w:t>
            </w: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>года составил рублей 2 273 030 338,67 в том числе:</w:t>
            </w:r>
          </w:p>
          <w:p w:rsidR="006C0112" w:rsidRPr="003205F3" w:rsidRDefault="006C0112" w:rsidP="006C011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315 646 122,64 рублей.</w:t>
            </w:r>
          </w:p>
          <w:p w:rsidR="006C0112" w:rsidRPr="003205F3" w:rsidRDefault="006C0112" w:rsidP="006C011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1 354 352 450,42 рублей.</w:t>
            </w:r>
          </w:p>
          <w:p w:rsidR="006C0112" w:rsidRPr="003205F3" w:rsidRDefault="006C0112" w:rsidP="006C011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3205F3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603 031 765,61 рублей.</w:t>
            </w:r>
          </w:p>
          <w:p w:rsidR="00AC3EDD" w:rsidRPr="003205F3" w:rsidRDefault="003F16A2" w:rsidP="006C0112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3205F3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3205F3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3205F3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3205F3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3438E" w:rsidRPr="003205F3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A432B0" w:rsidRPr="003205F3">
              <w:rPr>
                <w:rFonts w:ascii="PT Sans" w:hAnsi="PT Sans" w:cs="Segoe UI"/>
                <w:b/>
                <w:sz w:val="20"/>
                <w:szCs w:val="20"/>
              </w:rPr>
              <w:t>1.10</w:t>
            </w:r>
            <w:r w:rsidR="00AC3EDD" w:rsidRPr="003205F3">
              <w:rPr>
                <w:rFonts w:ascii="PT Sans" w:hAnsi="PT Sans" w:cs="Segoe UI"/>
                <w:b/>
                <w:sz w:val="20"/>
                <w:szCs w:val="20"/>
              </w:rPr>
              <w:t xml:space="preserve">.2025 года - дата, на которую приходится </w:t>
            </w:r>
            <w:r w:rsidR="00AC3EDD" w:rsidRPr="003205F3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3205F3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712798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712798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  <w:p w:rsidR="003205F3" w:rsidRPr="00712798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712798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3205F3" w:rsidRDefault="003205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712798" w:rsidRDefault="00BF2BE8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712798">
              <w:rPr>
                <w:rFonts w:ascii="PT Sans" w:hAnsi="PT Sans" w:cs="Segoe UI"/>
                <w:sz w:val="20"/>
                <w:szCs w:val="20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712798" w:rsidRDefault="00A432B0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3205F3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3205F3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3205F3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32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560C"/>
    <w:rsid w:val="001E026C"/>
    <w:rsid w:val="003205F3"/>
    <w:rsid w:val="003F16A2"/>
    <w:rsid w:val="00577CD1"/>
    <w:rsid w:val="00666B39"/>
    <w:rsid w:val="006C0112"/>
    <w:rsid w:val="00712798"/>
    <w:rsid w:val="0078691C"/>
    <w:rsid w:val="00A432B0"/>
    <w:rsid w:val="00AC3EDD"/>
    <w:rsid w:val="00B650F4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17</cp:revision>
  <dcterms:created xsi:type="dcterms:W3CDTF">2025-01-31T11:23:00Z</dcterms:created>
  <dcterms:modified xsi:type="dcterms:W3CDTF">2025-11-01T09:30:00Z</dcterms:modified>
</cp:coreProperties>
</file>