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0A9CCA79" w:rsidR="003E41F8" w:rsidRPr="00D511AE" w:rsidRDefault="00913426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С</w:t>
      </w:r>
      <w:r w:rsidR="003E41F8" w:rsidRPr="00D511AE">
        <w:rPr>
          <w:rFonts w:ascii="Calibri Light" w:eastAsiaTheme="minorEastAsia" w:hAnsi="Calibri Light" w:cs="Calibri Light"/>
          <w:b/>
          <w:bCs/>
          <w:lang w:eastAsia="ru-RU"/>
        </w:rPr>
        <w:t>ообщени</w:t>
      </w: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е</w:t>
      </w:r>
      <w:r w:rsidR="003E41F8" w:rsidRPr="00D511AE">
        <w:rPr>
          <w:rFonts w:ascii="Calibri Light" w:eastAsiaTheme="minorEastAsia" w:hAnsi="Calibri Light" w:cs="Calibri Light"/>
          <w:b/>
          <w:bCs/>
          <w:lang w:eastAsia="ru-RU"/>
        </w:rPr>
        <w:t xml:space="preserve"> </w:t>
      </w:r>
      <w:r w:rsidR="000F5CDC" w:rsidRPr="00D511AE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D511AE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D511AE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D511AE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D511AE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D511AE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D511AE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D511AE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D511AE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D511AE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D511AE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54127A3F" w:rsidR="002D28C8" w:rsidRPr="00D511AE" w:rsidRDefault="00B233D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D511AE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D511AE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D511AE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D511AE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D511AE" w:rsidRDefault="00DB5C0B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D511AE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D511AE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D511AE" w:rsidRDefault="00DB5C0B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D511AE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D511AE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D511AE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6C966284" w:rsidR="00C91DF0" w:rsidRPr="00D511AE" w:rsidRDefault="005D6FC7" w:rsidP="005D6FC7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09</w:t>
            </w:r>
            <w:r w:rsidR="00FA6202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01</w:t>
            </w:r>
            <w:r w:rsidR="00FA6202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5</w:t>
            </w:r>
          </w:p>
        </w:tc>
      </w:tr>
      <w:tr w:rsidR="00AD2D7F" w:rsidRPr="00D511AE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5D6FC7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D511AE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D511AE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D511AE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5BFCAF74" w:rsidR="003E0C7A" w:rsidRPr="00D511AE" w:rsidRDefault="00D23E11" w:rsidP="00F44DD9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F44DD9" w:rsidRPr="00D511AE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D511AE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E24397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</w:t>
            </w:r>
            <w:r w:rsidR="00BD0305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  <w:r w:rsidR="00F44DD9" w:rsidRPr="00D511AE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F44DD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Регистрационный номер выпуска </w:t>
            </w:r>
            <w:r w:rsidR="0053578D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ценных бумаг и дата его регистрации</w:t>
            </w:r>
            <w:r w:rsid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:</w:t>
            </w:r>
            <w:r w:rsidR="00F44DD9" w:rsidRPr="00D511AE"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  <w:t xml:space="preserve"> </w:t>
            </w:r>
            <w:r w:rsidR="00F5496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E24397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</w:t>
            </w:r>
            <w:r w:rsidR="00F5496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5B2A28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47DE94E1" w14:textId="77777777" w:rsidR="00F44DD9" w:rsidRPr="00D511AE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2.</w:t>
            </w:r>
            <w:r w:rsidR="00F44DD9"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. Категория выплат по ценным бумагам эмитента и (или) иных выплат, причитающихся владельцам ценных бумаг эмитента: </w:t>
            </w:r>
          </w:p>
          <w:p w14:paraId="25B193FA" w14:textId="410247F1" w:rsidR="0053578D" w:rsidRPr="00D511AE" w:rsidRDefault="0053578D" w:rsidP="00F44DD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</w:t>
            </w:r>
            <w:r w:rsidR="00F44DD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;</w:t>
            </w:r>
          </w:p>
          <w:p w14:paraId="2AB8C901" w14:textId="53E10536" w:rsidR="00F44DD9" w:rsidRPr="00D511AE" w:rsidRDefault="00F44DD9" w:rsidP="00F44DD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4C0368C3" w:rsidR="003E0C7A" w:rsidRPr="00D511A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F44DD9" w:rsidRPr="00D511AE">
              <w:rPr>
                <w:rFonts w:ascii="Calibri Light" w:hAnsi="Calibri Light" w:cs="Calibri Light"/>
                <w:color w:val="000000"/>
              </w:rPr>
              <w:t>3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за период с 08 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октября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CB4B66" w:rsidRPr="00D511A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января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810F3A" w:rsidRPr="00D511AE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9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-й купонный </w:t>
            </w:r>
            <w:r w:rsidR="00625629" w:rsidRPr="00D511AE">
              <w:rPr>
                <w:rFonts w:ascii="Calibri Light" w:hAnsi="Calibri Light" w:cs="Calibri Light"/>
                <w:b/>
                <w:i/>
                <w:color w:val="000000"/>
              </w:rPr>
              <w:t>период).</w:t>
            </w:r>
          </w:p>
          <w:p w14:paraId="45F517DB" w14:textId="07A1706B" w:rsidR="0053578D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F44DD9" w:rsidRPr="00D511AE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0" w:name="OLE_LINK96"/>
            <w:r w:rsidR="0053578D" w:rsidRPr="00D511AE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DB5C0B" w:rsidRPr="00DB5C0B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176</w:t>
            </w:r>
            <w:r w:rsidR="00DB5C0B">
              <w:rPr>
                <w:rFonts w:ascii="Calibri Light" w:eastAsiaTheme="minorEastAsia" w:hAnsi="Calibri Light" w:cs="Calibri Light"/>
                <w:b/>
                <w:i/>
                <w:lang w:val="en-US" w:eastAsia="ru-RU"/>
              </w:rPr>
              <w:t> </w:t>
            </w:r>
            <w:r w:rsidR="00DB5C0B" w:rsidRPr="00DB5C0B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048 547</w:t>
            </w:r>
            <w:r w:rsidR="00650AE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(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сто </w:t>
            </w:r>
            <w:r w:rsidR="00D5156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семьдесят </w:t>
            </w:r>
            <w:r w:rsidR="00DB5C0B" w:rsidRPr="00DB5C0B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шесть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миллион</w:t>
            </w:r>
            <w:r w:rsidR="00D5156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ов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DB5C0B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сорок восемь</w:t>
            </w:r>
            <w:r w:rsidR="00D5156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т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ысяч </w:t>
            </w:r>
            <w:r w:rsidR="00D5156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пятьсот </w:t>
            </w:r>
            <w:r w:rsidR="00DB5C0B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сорок семь</w:t>
            </w:r>
            <w:r w:rsidR="00C32F9E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)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рубл</w:t>
            </w:r>
            <w:r w:rsidR="00DB5C0B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ей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DB5C0B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64</w:t>
            </w:r>
            <w:r w:rsidR="000C28BD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копе</w:t>
            </w:r>
            <w:r w:rsidR="002B721C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йки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7F5185A2" w14:textId="04B9656B" w:rsidR="0053578D" w:rsidRPr="00D511AE" w:rsidRDefault="000C28BD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2.5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эмитента: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</w:p>
          <w:p w14:paraId="5497D195" w14:textId="53A53D40" w:rsidR="000C28BD" w:rsidRPr="00D511AE" w:rsidRDefault="000C28BD" w:rsidP="000C28BD">
            <w:pPr>
              <w:pStyle w:val="a5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проценты (купонный доход) по облигациям – </w:t>
            </w:r>
            <w:r w:rsidR="00E24366" w:rsidRPr="00D511AE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одиннадцать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) рублей 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23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копейки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075F9EAB" w14:textId="51716F9F" w:rsidR="000C28BD" w:rsidRPr="00D511AE" w:rsidRDefault="000C28BD" w:rsidP="000C28BD">
            <w:pPr>
              <w:pStyle w:val="a5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часть номинальной стоимости облигаций </w:t>
            </w:r>
            <w:r w:rsidR="00D511AE" w:rsidRPr="00D511AE">
              <w:rPr>
                <w:rFonts w:ascii="Calibri Light" w:hAnsi="Calibri Light" w:cs="Calibri Light"/>
                <w:b/>
                <w:i/>
                <w:color w:val="000000"/>
              </w:rPr>
              <w:t>–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 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43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сорок три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D51567">
              <w:rPr>
                <w:rFonts w:ascii="Calibri Light" w:hAnsi="Calibri Light" w:cs="Calibri Light"/>
                <w:b/>
                <w:i/>
                <w:color w:val="000000"/>
              </w:rPr>
              <w:t>я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51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копе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йка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bookmarkEnd w:id="0"/>
          <w:p w14:paraId="039AB0A0" w14:textId="31BEC4A5" w:rsidR="003E0C7A" w:rsidRPr="00D511A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6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lastRenderedPageBreak/>
              <w:t>осуществлены иные выплаты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625629" w:rsidRPr="00D511AE">
              <w:rPr>
                <w:rFonts w:ascii="Calibri Light" w:hAnsi="Calibri Light" w:cs="Calibri Light"/>
                <w:b/>
                <w:i/>
                <w:color w:val="000000"/>
              </w:rPr>
              <w:t>3 216 086 (три миллиона двести шестнадцать тысяч восемьдесят шесть) штук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0768A6B" w14:textId="71351A5D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D511AE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2251066F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D511AE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5B2A28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78784227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DB5C0B">
              <w:rPr>
                <w:rFonts w:ascii="Calibri Light" w:hAnsi="Calibri Light" w:cs="Calibri Light"/>
                <w:b/>
                <w:i/>
                <w:color w:val="000000"/>
              </w:rPr>
              <w:t>09</w:t>
            </w:r>
            <w:r w:rsidR="006F7E00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DB5C0B">
              <w:rPr>
                <w:rFonts w:ascii="Calibri Light" w:hAnsi="Calibri Light" w:cs="Calibri Light"/>
                <w:b/>
                <w:i/>
                <w:color w:val="000000"/>
              </w:rPr>
              <w:t>01.2025</w:t>
            </w:r>
            <w:r w:rsidR="005B2A28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10D5633" w14:textId="2312D87E" w:rsidR="00834CF9" w:rsidRPr="00D511AE" w:rsidRDefault="00834CF9" w:rsidP="000C28BD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524C1C" w:rsidRPr="00D511AE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0C28BD" w:rsidRPr="00D511AE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="000C28B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обязательство</w:t>
            </w:r>
            <w:r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0C28B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D511AE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D511AE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D511AE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550F43DC" w:rsidR="00221D5D" w:rsidRPr="00D511AE" w:rsidRDefault="000259A7" w:rsidP="00F81D83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3.1. </w:t>
            </w:r>
            <w:r w:rsidR="00B03874"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Руководитель </w:t>
            </w:r>
            <w:r w:rsidR="00F81D83">
              <w:rPr>
                <w:rFonts w:ascii="Calibri Light" w:eastAsiaTheme="minorEastAsia" w:hAnsi="Calibri Light" w:cs="Calibri Light"/>
                <w:lang w:eastAsia="ru-RU"/>
              </w:rPr>
              <w:t>направления (рынки капиталов)</w:t>
            </w:r>
            <w:r w:rsidR="00B03874"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D511AE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D511AE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0C930F8" w14:textId="5439A33C" w:rsidR="00221D5D" w:rsidRPr="00D511AE" w:rsidRDefault="00D511AE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D511AE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D511AE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D511AE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58912A9F" w:rsidR="00221D5D" w:rsidRPr="00D511AE" w:rsidRDefault="00D511AE" w:rsidP="00DB5C0B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hAnsi="Calibri Light" w:cs="Calibri Light"/>
              </w:rPr>
              <w:t>0</w:t>
            </w:r>
            <w:r w:rsidR="00DB5C0B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61CB7A19" w:rsidR="00221D5D" w:rsidRPr="00D511AE" w:rsidRDefault="00DB5C0B" w:rsidP="00D511AE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6F1D8B96" w:rsidR="00221D5D" w:rsidRPr="00D511AE" w:rsidRDefault="006F468F" w:rsidP="00DB5C0B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DB5C0B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D511AE" w:rsidRDefault="00DB5C0B" w:rsidP="00E4779A">
      <w:pPr>
        <w:rPr>
          <w:rFonts w:ascii="Calibri Light" w:hAnsi="Calibri Light" w:cs="Calibri Light"/>
        </w:rPr>
      </w:pPr>
    </w:p>
    <w:sectPr w:rsidR="00140E48" w:rsidRPr="00D5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04C5"/>
    <w:rsid w:val="0000433E"/>
    <w:rsid w:val="000259A7"/>
    <w:rsid w:val="00055D0D"/>
    <w:rsid w:val="00062F22"/>
    <w:rsid w:val="000649F1"/>
    <w:rsid w:val="000A1B0E"/>
    <w:rsid w:val="000B4BFA"/>
    <w:rsid w:val="000C28BD"/>
    <w:rsid w:val="000D153C"/>
    <w:rsid w:val="000F5CDC"/>
    <w:rsid w:val="000F728A"/>
    <w:rsid w:val="000F780F"/>
    <w:rsid w:val="00104755"/>
    <w:rsid w:val="00112E6F"/>
    <w:rsid w:val="00142FFB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207F20"/>
    <w:rsid w:val="00215CBB"/>
    <w:rsid w:val="00221D5D"/>
    <w:rsid w:val="00227C70"/>
    <w:rsid w:val="002618CC"/>
    <w:rsid w:val="00262BF7"/>
    <w:rsid w:val="00272EC2"/>
    <w:rsid w:val="00291418"/>
    <w:rsid w:val="00297E26"/>
    <w:rsid w:val="002B2CA7"/>
    <w:rsid w:val="002B721C"/>
    <w:rsid w:val="002D28C8"/>
    <w:rsid w:val="002E086C"/>
    <w:rsid w:val="002F0123"/>
    <w:rsid w:val="00314244"/>
    <w:rsid w:val="003168BD"/>
    <w:rsid w:val="00326B29"/>
    <w:rsid w:val="00336B60"/>
    <w:rsid w:val="003463FD"/>
    <w:rsid w:val="003E0C7A"/>
    <w:rsid w:val="003E41F8"/>
    <w:rsid w:val="00404D4D"/>
    <w:rsid w:val="00410848"/>
    <w:rsid w:val="00414F51"/>
    <w:rsid w:val="00423866"/>
    <w:rsid w:val="00442BB7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24C1C"/>
    <w:rsid w:val="0053578D"/>
    <w:rsid w:val="00546350"/>
    <w:rsid w:val="005538C4"/>
    <w:rsid w:val="00560FED"/>
    <w:rsid w:val="005B2A28"/>
    <w:rsid w:val="005C0649"/>
    <w:rsid w:val="005D6FC7"/>
    <w:rsid w:val="005E6A0A"/>
    <w:rsid w:val="00602E8B"/>
    <w:rsid w:val="00603F17"/>
    <w:rsid w:val="00625629"/>
    <w:rsid w:val="00650AEB"/>
    <w:rsid w:val="00693689"/>
    <w:rsid w:val="00694D4E"/>
    <w:rsid w:val="006A1AC0"/>
    <w:rsid w:val="006B08B5"/>
    <w:rsid w:val="006F468F"/>
    <w:rsid w:val="006F7E00"/>
    <w:rsid w:val="007575BF"/>
    <w:rsid w:val="007621E5"/>
    <w:rsid w:val="0078436F"/>
    <w:rsid w:val="007A4C88"/>
    <w:rsid w:val="007A5F46"/>
    <w:rsid w:val="007B5B24"/>
    <w:rsid w:val="0080217E"/>
    <w:rsid w:val="008069C3"/>
    <w:rsid w:val="00810F3A"/>
    <w:rsid w:val="008112AC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13426"/>
    <w:rsid w:val="00935BFF"/>
    <w:rsid w:val="00940629"/>
    <w:rsid w:val="00943417"/>
    <w:rsid w:val="009612E3"/>
    <w:rsid w:val="00962C8F"/>
    <w:rsid w:val="009A3DEF"/>
    <w:rsid w:val="009C5828"/>
    <w:rsid w:val="009E79B3"/>
    <w:rsid w:val="00A15429"/>
    <w:rsid w:val="00A3281F"/>
    <w:rsid w:val="00A3770F"/>
    <w:rsid w:val="00A4594F"/>
    <w:rsid w:val="00A461FB"/>
    <w:rsid w:val="00A60548"/>
    <w:rsid w:val="00A813F4"/>
    <w:rsid w:val="00AB50B3"/>
    <w:rsid w:val="00AD2D7F"/>
    <w:rsid w:val="00AD4A86"/>
    <w:rsid w:val="00B03874"/>
    <w:rsid w:val="00B233DD"/>
    <w:rsid w:val="00B23EBC"/>
    <w:rsid w:val="00B31D0F"/>
    <w:rsid w:val="00B51742"/>
    <w:rsid w:val="00B57A20"/>
    <w:rsid w:val="00B73853"/>
    <w:rsid w:val="00B84A46"/>
    <w:rsid w:val="00BB2045"/>
    <w:rsid w:val="00BC0EDF"/>
    <w:rsid w:val="00BC1394"/>
    <w:rsid w:val="00BD0305"/>
    <w:rsid w:val="00BD7464"/>
    <w:rsid w:val="00BE1F36"/>
    <w:rsid w:val="00C114DA"/>
    <w:rsid w:val="00C32F9E"/>
    <w:rsid w:val="00C82343"/>
    <w:rsid w:val="00C91DF0"/>
    <w:rsid w:val="00CA4B56"/>
    <w:rsid w:val="00CA7220"/>
    <w:rsid w:val="00CB255A"/>
    <w:rsid w:val="00CB4B66"/>
    <w:rsid w:val="00CC70D2"/>
    <w:rsid w:val="00D16728"/>
    <w:rsid w:val="00D23E11"/>
    <w:rsid w:val="00D27040"/>
    <w:rsid w:val="00D511AE"/>
    <w:rsid w:val="00D51567"/>
    <w:rsid w:val="00D7451E"/>
    <w:rsid w:val="00D96378"/>
    <w:rsid w:val="00DB0CF4"/>
    <w:rsid w:val="00DB1604"/>
    <w:rsid w:val="00DB5C0B"/>
    <w:rsid w:val="00DC222E"/>
    <w:rsid w:val="00DE2EDB"/>
    <w:rsid w:val="00DF47D5"/>
    <w:rsid w:val="00E068A7"/>
    <w:rsid w:val="00E10EA4"/>
    <w:rsid w:val="00E24366"/>
    <w:rsid w:val="00E24397"/>
    <w:rsid w:val="00E441EC"/>
    <w:rsid w:val="00E4779A"/>
    <w:rsid w:val="00E52B6A"/>
    <w:rsid w:val="00E7609F"/>
    <w:rsid w:val="00E77DA3"/>
    <w:rsid w:val="00E96F3E"/>
    <w:rsid w:val="00E9781C"/>
    <w:rsid w:val="00EA15BC"/>
    <w:rsid w:val="00EC087A"/>
    <w:rsid w:val="00EC181D"/>
    <w:rsid w:val="00F00D17"/>
    <w:rsid w:val="00F07379"/>
    <w:rsid w:val="00F1042A"/>
    <w:rsid w:val="00F44DD9"/>
    <w:rsid w:val="00F5113E"/>
    <w:rsid w:val="00F5496B"/>
    <w:rsid w:val="00F81D83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3E55-10F1-4A2A-9074-7F890E23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2</cp:revision>
  <cp:lastPrinted>2018-05-08T19:22:00Z</cp:lastPrinted>
  <dcterms:created xsi:type="dcterms:W3CDTF">2025-01-09T12:02:00Z</dcterms:created>
  <dcterms:modified xsi:type="dcterms:W3CDTF">2025-01-09T12:02:00Z</dcterms:modified>
</cp:coreProperties>
</file>