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125375, г. Москва, вн. тер. г. муниципальный округ Пресненский, Большой Гнездниковский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2A1611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2A1611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1F2C2CA" w:rsidR="00C91DF0" w:rsidRPr="001E3569" w:rsidRDefault="00F12745" w:rsidP="008957B3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313B6E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0</w:t>
            </w:r>
            <w:r w:rsidR="008957B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8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7B4B259B" w14:textId="77777777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0CEEA43F" w14:textId="4576A216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</w:t>
            </w:r>
            <w:r w:rsidR="00313B6E" w:rsidRPr="00313B6E">
              <w:rPr>
                <w:rFonts w:ascii="PT Sans" w:hAnsi="PT Sans"/>
                <w:b/>
                <w:bCs/>
                <w:sz w:val="20"/>
                <w:szCs w:val="20"/>
              </w:rPr>
              <w:t>1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>.0</w:t>
            </w:r>
            <w:r w:rsidR="008957B3">
              <w:rPr>
                <w:rFonts w:ascii="PT Sans" w:hAnsi="PT Sans"/>
                <w:b/>
                <w:bCs/>
                <w:sz w:val="20"/>
                <w:szCs w:val="20"/>
              </w:rPr>
              <w:t>8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.2024 года составил </w:t>
            </w:r>
            <w:r w:rsidR="008957B3" w:rsidRPr="008957B3">
              <w:rPr>
                <w:rFonts w:ascii="PT Sans" w:hAnsi="PT Sans"/>
                <w:b/>
                <w:bCs/>
                <w:sz w:val="20"/>
                <w:szCs w:val="20"/>
              </w:rPr>
              <w:t xml:space="preserve">3 475 584 283,77 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 в том числе:</w:t>
            </w:r>
          </w:p>
          <w:p w14:paraId="3A1FCD31" w14:textId="45E1986F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1 (как этот термин определен Решениями о выпуске): </w:t>
            </w:r>
            <w:r w:rsidR="008957B3" w:rsidRPr="008957B3">
              <w:rPr>
                <w:rFonts w:ascii="PT Sans" w:hAnsi="PT Sans"/>
                <w:b/>
                <w:bCs/>
                <w:sz w:val="20"/>
                <w:szCs w:val="20"/>
              </w:rPr>
              <w:t>644 568 791,76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710FB580" w14:textId="0BA07545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Активу 2 (как этот термин определен Решениями о выпуске): </w:t>
            </w:r>
            <w:r w:rsidR="008957B3" w:rsidRPr="008957B3">
              <w:rPr>
                <w:rFonts w:ascii="PT Sans" w:hAnsi="PT Sans"/>
                <w:b/>
                <w:bCs/>
                <w:sz w:val="20"/>
                <w:szCs w:val="20"/>
              </w:rPr>
              <w:t>2 427 648 694,22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02B2F480" w14:textId="55198831" w:rsidR="00F12745" w:rsidRPr="00F12745" w:rsidRDefault="00F12745" w:rsidP="00F12745">
            <w:pPr>
              <w:spacing w:before="6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договору банковского (залогового) счета: </w:t>
            </w:r>
            <w:r w:rsidR="008957B3" w:rsidRPr="008957B3">
              <w:rPr>
                <w:rFonts w:ascii="PT Sans" w:hAnsi="PT Sans"/>
                <w:b/>
                <w:bCs/>
                <w:sz w:val="20"/>
                <w:szCs w:val="20"/>
              </w:rPr>
              <w:t>403 366 797,79</w:t>
            </w:r>
            <w:r w:rsidRPr="00F12745">
              <w:rPr>
                <w:rFonts w:ascii="PT Sans" w:hAnsi="PT Sans"/>
                <w:b/>
                <w:bCs/>
                <w:sz w:val="20"/>
                <w:szCs w:val="20"/>
              </w:rPr>
              <w:t xml:space="preserve"> рублей.</w:t>
            </w:r>
          </w:p>
          <w:p w14:paraId="610D5633" w14:textId="69215286" w:rsidR="00834CF9" w:rsidRPr="003C090D" w:rsidRDefault="00523958" w:rsidP="008957B3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D045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</w:t>
            </w:r>
            <w:r w:rsidR="00313B6E" w:rsidRPr="00313B6E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8957B3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8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09010D22" w:rsidR="00221D5D" w:rsidRPr="00945573" w:rsidRDefault="000259A7" w:rsidP="002A1611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</w:t>
            </w:r>
            <w:r w:rsidR="002A1611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Уполномоченный представитель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3A7E9FC" w:rsidR="00221D5D" w:rsidRPr="00945573" w:rsidRDefault="002A16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  <w:bookmarkStart w:id="1" w:name="_GoBack"/>
            <w:bookmarkEnd w:id="1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3068A696" w:rsidR="00221D5D" w:rsidRPr="008957B3" w:rsidRDefault="00474511" w:rsidP="008957B3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8957B3">
              <w:rPr>
                <w:rFonts w:ascii="PT Sans" w:hAnsi="PT Sans" w:cs="Segoe UI"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09EB08BD" w:rsidR="00221D5D" w:rsidRPr="00313B6E" w:rsidRDefault="008957B3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74A0A779" w:rsidR="00221D5D" w:rsidRPr="00945573" w:rsidRDefault="006F468F" w:rsidP="001E356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1E356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2A1611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1611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957B3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1240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33F3-4C00-49E9-92EC-21427E04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73</cp:revision>
  <cp:lastPrinted>2018-05-08T19:22:00Z</cp:lastPrinted>
  <dcterms:created xsi:type="dcterms:W3CDTF">2019-07-04T15:33:00Z</dcterms:created>
  <dcterms:modified xsi:type="dcterms:W3CDTF">2024-09-02T14:21:00Z</dcterms:modified>
</cp:coreProperties>
</file>