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0F2D12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0F2D12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2CEBDBD7" w:rsidR="00C91DF0" w:rsidRPr="00945573" w:rsidRDefault="000F2D12" w:rsidP="000F2D12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30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71376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1376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BBA40C3" w14:textId="1F043C55" w:rsidR="00A86A8F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bookmarkStart w:id="0" w:name="_GoBack"/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 ценных бумаг (облигации), серия (при наличии) и иные идентификационные признаки 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залога, указанные в решении о выпуске таких облигаций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4649EF3D" w14:textId="4DF7EFE0" w:rsidR="00D23E11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</w:p>
          <w:p w14:paraId="2973B76B" w14:textId="4CE311A5" w:rsidR="00A86A8F" w:rsidRPr="004E3A05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</w:t>
            </w:r>
            <w:r w:rsidRPr="004E3A05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7D415701" w14:textId="4EB3B6ED" w:rsidR="00A86A8F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</w:p>
          <w:p w14:paraId="3D42CCDE" w14:textId="7BF19FAD" w:rsidR="003E0C7A" w:rsidRPr="0094557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егистрационный номер выпуска облигаций эмитента с залоговым обеспечением, в том числе выпуска облигаций эмитента с ипотечным покрытием, в отношении которых произошло изменение состава и (или) размера предмета залога, и дата его регистрации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A86A8F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4-01-00550-R от 08.06.2020; 4-02-00550-R от 08.06.2020; 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4-0</w:t>
            </w:r>
            <w:r w:rsidR="0094557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-00550-R от 08.06.2020</w:t>
            </w:r>
            <w:r w:rsidR="00F04CD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25B193FA" w14:textId="2B90EBD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320F2701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ипотечного покрытия облигаций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4302A6F2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1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4A35C9EC" w14:textId="77777777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обеспечения) </w:t>
            </w:r>
          </w:p>
          <w:p w14:paraId="0C90409F" w14:textId="30C88042" w:rsidR="0033294F" w:rsidRPr="00D1304E" w:rsidRDefault="00D1304E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по состоянию на </w:t>
            </w:r>
            <w:r w:rsidR="000A31E8">
              <w:rPr>
                <w:rFonts w:ascii="PT Sans" w:hAnsi="PT Sans"/>
                <w:b/>
                <w:bCs/>
                <w:sz w:val="20"/>
                <w:szCs w:val="20"/>
              </w:rPr>
              <w:t>3</w:t>
            </w:r>
            <w:r w:rsidR="000F2D12">
              <w:rPr>
                <w:rFonts w:ascii="PT Sans" w:hAnsi="PT Sans"/>
                <w:b/>
                <w:bCs/>
                <w:sz w:val="20"/>
                <w:szCs w:val="20"/>
              </w:rPr>
              <w:t>0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  <w:r w:rsidR="0071376A">
              <w:rPr>
                <w:rFonts w:ascii="PT Sans" w:hAnsi="PT Sans"/>
                <w:b/>
                <w:bCs/>
                <w:sz w:val="20"/>
                <w:szCs w:val="20"/>
              </w:rPr>
              <w:t>0</w:t>
            </w:r>
            <w:r w:rsidR="000F2D12">
              <w:rPr>
                <w:rFonts w:ascii="PT Sans" w:hAnsi="PT Sans"/>
                <w:b/>
                <w:bCs/>
                <w:sz w:val="20"/>
                <w:szCs w:val="20"/>
              </w:rPr>
              <w:t>9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.202</w:t>
            </w:r>
            <w:r w:rsidR="0071376A">
              <w:rPr>
                <w:rFonts w:ascii="PT Sans" w:hAnsi="PT Sans"/>
                <w:b/>
                <w:bCs/>
                <w:sz w:val="20"/>
                <w:szCs w:val="20"/>
              </w:rPr>
              <w:t>2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 года составил </w:t>
            </w:r>
            <w:r w:rsidR="000F2D12" w:rsidRPr="000F2D12">
              <w:rPr>
                <w:rFonts w:ascii="PT Sans" w:hAnsi="PT Sans"/>
                <w:b/>
                <w:bCs/>
                <w:sz w:val="20"/>
                <w:szCs w:val="20"/>
              </w:rPr>
              <w:t xml:space="preserve">4 889 145 649,96 </w:t>
            </w:r>
            <w:r w:rsidR="00933E0E" w:rsidRPr="00933E0E">
              <w:rPr>
                <w:rFonts w:ascii="PT Sans" w:hAnsi="PT Sans"/>
                <w:b/>
                <w:bCs/>
                <w:sz w:val="20"/>
                <w:szCs w:val="20"/>
              </w:rPr>
              <w:t>руб.</w:t>
            </w:r>
            <w:r w:rsidR="0033294F" w:rsidRPr="00D1304E">
              <w:rPr>
                <w:rFonts w:ascii="PT Sans" w:hAnsi="PT Sans"/>
                <w:b/>
                <w:bCs/>
                <w:sz w:val="20"/>
                <w:szCs w:val="20"/>
              </w:rPr>
              <w:t>, в том числе:</w:t>
            </w:r>
          </w:p>
          <w:p w14:paraId="150BDE18" w14:textId="0F078B7C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1 (как этот термин определен Решениями о выпуске): </w:t>
            </w:r>
            <w:r w:rsidR="000F2D12" w:rsidRPr="000F2D12">
              <w:rPr>
                <w:rFonts w:ascii="PT Sans" w:hAnsi="PT Sans"/>
                <w:b/>
                <w:bCs/>
                <w:sz w:val="20"/>
                <w:szCs w:val="20"/>
              </w:rPr>
              <w:t xml:space="preserve">1 911 909 640,16 </w:t>
            </w:r>
            <w:r w:rsidR="00DE1240" w:rsidRPr="0071376A">
              <w:rPr>
                <w:rFonts w:ascii="PT Sans" w:hAnsi="PT Sans"/>
                <w:b/>
                <w:bCs/>
                <w:sz w:val="20"/>
                <w:szCs w:val="20"/>
              </w:rPr>
              <w:t>рублей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0353F964" w14:textId="638210B5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2 (как этот термин определен Решениями о выпуске): </w:t>
            </w:r>
            <w:r w:rsidR="000F2D12" w:rsidRPr="000F2D12">
              <w:rPr>
                <w:rFonts w:ascii="PT Sans" w:hAnsi="PT Sans"/>
                <w:b/>
                <w:bCs/>
                <w:sz w:val="20"/>
                <w:szCs w:val="20"/>
              </w:rPr>
              <w:t>2 358 529 599,</w:t>
            </w:r>
            <w:proofErr w:type="gramStart"/>
            <w:r w:rsidR="000F2D12" w:rsidRPr="000F2D12">
              <w:rPr>
                <w:rFonts w:ascii="PT Sans" w:hAnsi="PT Sans"/>
                <w:b/>
                <w:bCs/>
                <w:sz w:val="20"/>
                <w:szCs w:val="20"/>
              </w:rPr>
              <w:t xml:space="preserve">98 </w:t>
            </w:r>
            <w:r w:rsidR="00B80D14">
              <w:rPr>
                <w:rFonts w:ascii="PT Sans" w:hAnsi="PT Sans"/>
                <w:b/>
                <w:bCs/>
                <w:sz w:val="20"/>
                <w:szCs w:val="20"/>
              </w:rPr>
              <w:t xml:space="preserve"> 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рублей</w:t>
            </w:r>
            <w:proofErr w:type="gramEnd"/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47932D6C" w14:textId="5AD51587" w:rsidR="0033294F" w:rsidRDefault="0033294F" w:rsidP="00D1304E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договору банковского (залогового) счета: </w:t>
            </w:r>
            <w:r w:rsidR="000F2D12" w:rsidRPr="000F2D12">
              <w:rPr>
                <w:rFonts w:ascii="PT Sans" w:hAnsi="PT Sans"/>
                <w:b/>
                <w:bCs/>
                <w:sz w:val="20"/>
                <w:szCs w:val="20"/>
                <w:lang w:eastAsia="ru-RU"/>
              </w:rPr>
              <w:t xml:space="preserve">618 706 409,82 </w:t>
            </w:r>
            <w:r w:rsidR="00933E0E" w:rsidRPr="00933E0E">
              <w:rPr>
                <w:rFonts w:ascii="PT Sans" w:hAnsi="PT Sans"/>
                <w:b/>
                <w:bCs/>
                <w:sz w:val="20"/>
                <w:szCs w:val="20"/>
                <w:lang w:eastAsia="ru-RU"/>
              </w:rPr>
              <w:t xml:space="preserve">  </w:t>
            </w: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>рублей.</w:t>
            </w:r>
          </w:p>
          <w:p w14:paraId="610D5633" w14:textId="735CF726" w:rsidR="00834CF9" w:rsidRPr="003C090D" w:rsidRDefault="0053578D" w:rsidP="000F2D12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2.6.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77654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0F2D1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71376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0</w:t>
            </w:r>
            <w:r w:rsidR="000F2D12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9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71376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1"/>
            <w:bookmarkEnd w:id="0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945573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34A5AE08" w:rsidR="00221D5D" w:rsidRPr="00945573" w:rsidRDefault="002A39CC" w:rsidP="000F2D12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</w:t>
            </w:r>
            <w:r w:rsidR="000F2D12">
              <w:rPr>
                <w:rFonts w:ascii="PT Sans" w:hAnsi="PT Sans" w:cs="Segoe UI"/>
                <w:sz w:val="20"/>
                <w:szCs w:val="20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4DDBF774" w:rsidR="00221D5D" w:rsidRPr="00067468" w:rsidRDefault="000F2D12" w:rsidP="00016977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2D9D1826" w:rsidR="00221D5D" w:rsidRPr="00945573" w:rsidRDefault="006F468F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EF61C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0F2D12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16977"/>
    <w:rsid w:val="000259A7"/>
    <w:rsid w:val="00055D0D"/>
    <w:rsid w:val="00062F22"/>
    <w:rsid w:val="000649F1"/>
    <w:rsid w:val="00067468"/>
    <w:rsid w:val="000A1B0E"/>
    <w:rsid w:val="000A31E8"/>
    <w:rsid w:val="000D153C"/>
    <w:rsid w:val="000F2D12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A39CC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63753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A4C88"/>
    <w:rsid w:val="007A5F46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3E0E"/>
    <w:rsid w:val="00935BFF"/>
    <w:rsid w:val="00940629"/>
    <w:rsid w:val="009408DA"/>
    <w:rsid w:val="00943417"/>
    <w:rsid w:val="00945573"/>
    <w:rsid w:val="009612E3"/>
    <w:rsid w:val="00962C8F"/>
    <w:rsid w:val="009A3DEF"/>
    <w:rsid w:val="009C5828"/>
    <w:rsid w:val="009D3F65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0D14"/>
    <w:rsid w:val="00B84A46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F3E"/>
    <w:rsid w:val="00E9781C"/>
    <w:rsid w:val="00EA15BC"/>
    <w:rsid w:val="00EC087A"/>
    <w:rsid w:val="00EC181D"/>
    <w:rsid w:val="00EF61CD"/>
    <w:rsid w:val="00F00D17"/>
    <w:rsid w:val="00F04CD3"/>
    <w:rsid w:val="00F07379"/>
    <w:rsid w:val="00F1042A"/>
    <w:rsid w:val="00F2221D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E7FD3-5C56-4744-922F-2AEB3A1C8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47</cp:revision>
  <cp:lastPrinted>2018-05-08T19:22:00Z</cp:lastPrinted>
  <dcterms:created xsi:type="dcterms:W3CDTF">2019-07-04T15:33:00Z</dcterms:created>
  <dcterms:modified xsi:type="dcterms:W3CDTF">2022-10-03T12:36:00Z</dcterms:modified>
</cp:coreProperties>
</file>