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  <w:bookmarkStart w:id="0" w:name="_GoBack"/>
            <w:bookmarkEnd w:id="0"/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456EA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456EA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612124A5" w:rsidR="00C91DF0" w:rsidRPr="00945573" w:rsidRDefault="00EF61CD" w:rsidP="0071376A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31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3A53D33E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31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01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71376A" w:rsidRPr="0071376A">
              <w:rPr>
                <w:rFonts w:ascii="PT Sans" w:hAnsi="PT Sans"/>
                <w:b/>
                <w:bCs/>
                <w:sz w:val="20"/>
                <w:szCs w:val="20"/>
              </w:rPr>
              <w:t>5 067 469 315,</w:t>
            </w:r>
            <w:r w:rsidR="007F5B16" w:rsidRPr="0071376A">
              <w:rPr>
                <w:rFonts w:ascii="PT Sans" w:hAnsi="PT Sans"/>
                <w:b/>
                <w:bCs/>
                <w:sz w:val="20"/>
                <w:szCs w:val="20"/>
              </w:rPr>
              <w:t xml:space="preserve">01 </w:t>
            </w:r>
            <w:r w:rsidR="007F5B16" w:rsidRPr="00D1304E">
              <w:rPr>
                <w:rFonts w:ascii="PT Sans" w:hAnsi="PT Sans"/>
                <w:b/>
                <w:bCs/>
                <w:sz w:val="20"/>
                <w:szCs w:val="20"/>
              </w:rPr>
              <w:t>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01877DAC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71376A" w:rsidRPr="0071376A">
              <w:rPr>
                <w:rFonts w:ascii="PT Sans" w:hAnsi="PT Sans"/>
                <w:b/>
                <w:bCs/>
                <w:sz w:val="20"/>
                <w:szCs w:val="20"/>
              </w:rPr>
              <w:t xml:space="preserve">2 382 856 932,42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0353F964" w14:textId="3103BA61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71376A" w:rsidRPr="0071376A">
              <w:rPr>
                <w:rFonts w:ascii="PT Sans" w:hAnsi="PT Sans"/>
                <w:b/>
                <w:bCs/>
                <w:sz w:val="20"/>
                <w:szCs w:val="20"/>
              </w:rPr>
              <w:t>2 393 183 830,79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47932D6C" w14:textId="61B9AD09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71376A" w:rsidRPr="0071376A">
              <w:rPr>
                <w:rFonts w:ascii="PT Sans" w:hAnsi="PT Sans"/>
                <w:b/>
                <w:bCs/>
                <w:sz w:val="20"/>
                <w:szCs w:val="20"/>
              </w:rPr>
              <w:t xml:space="preserve">291 428 551,80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610D5633" w14:textId="1DA1E207" w:rsidR="00834CF9" w:rsidRPr="003C090D" w:rsidRDefault="0053578D" w:rsidP="0071376A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EF61C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01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42593D3D" w:rsidR="00221D5D" w:rsidRPr="00945573" w:rsidRDefault="0071376A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5147DEFF" w:rsidR="00221D5D" w:rsidRPr="00067468" w:rsidRDefault="0071376A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456EAF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6D72-11D3-4225-AA83-01D27F12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39</cp:revision>
  <cp:lastPrinted>2018-05-08T19:22:00Z</cp:lastPrinted>
  <dcterms:created xsi:type="dcterms:W3CDTF">2019-07-04T15:33:00Z</dcterms:created>
  <dcterms:modified xsi:type="dcterms:W3CDTF">2022-02-01T09:55:00Z</dcterms:modified>
</cp:coreProperties>
</file>